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AEADCC0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767DC5">
        <w:rPr>
          <w:rFonts w:ascii="Arial" w:hAnsi="Arial" w:cs="Arial"/>
          <w:b/>
          <w:color w:val="auto"/>
          <w:sz w:val="24"/>
          <w:szCs w:val="24"/>
        </w:rPr>
        <w:t>I</w:t>
      </w:r>
      <w:r w:rsidR="00941F58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421D5">
        <w:rPr>
          <w:rFonts w:ascii="Arial" w:hAnsi="Arial" w:cs="Arial"/>
          <w:b/>
          <w:color w:val="auto"/>
          <w:sz w:val="24"/>
          <w:szCs w:val="24"/>
        </w:rPr>
        <w:t>1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Rozwoju, Pracy 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1A39B33F" w:rsidR="00907F6D" w:rsidRPr="00CE0EBB" w:rsidRDefault="00527DA3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60550D">
              <w:rPr>
                <w:rFonts w:ascii="Arial" w:hAnsi="Arial" w:cs="Arial"/>
                <w:sz w:val="18"/>
                <w:szCs w:val="20"/>
              </w:rPr>
              <w:t>8,</w:t>
            </w:r>
            <w:r>
              <w:rPr>
                <w:rFonts w:ascii="Arial" w:hAnsi="Arial" w:cs="Arial"/>
                <w:sz w:val="18"/>
                <w:szCs w:val="20"/>
              </w:rPr>
              <w:t>71</w:t>
            </w:r>
            <w:r w:rsidR="00836502" w:rsidRPr="00CE0EBB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6BB2604A" w:rsidR="006948D3" w:rsidRPr="00AA3364" w:rsidRDefault="004E00EE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3,17 </w:t>
            </w:r>
            <w:r w:rsidR="00836502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3524E1F5" w:rsidR="00DB37C5" w:rsidRPr="00CE0EBB" w:rsidRDefault="004E00EE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7B74EE">
              <w:rPr>
                <w:rFonts w:ascii="Arial" w:hAnsi="Arial" w:cs="Arial"/>
                <w:sz w:val="18"/>
                <w:szCs w:val="20"/>
              </w:rPr>
              <w:t>,93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CE0EBB" w:rsidRDefault="00E457A2" w:rsidP="007B456A">
            <w:pPr>
              <w:pStyle w:val="Akapitzlist"/>
              <w:numPr>
                <w:ilvl w:val="0"/>
                <w:numId w:val="22"/>
              </w:numPr>
              <w:spacing w:line="276" w:lineRule="auto"/>
              <w:ind w:left="322" w:hanging="283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CE0EBB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6A087C0C" w:rsidR="00907F6D" w:rsidRPr="00CE0EBB" w:rsidRDefault="007B74EE" w:rsidP="00CE0E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8,33</w:t>
            </w:r>
            <w:r w:rsidR="000665B3" w:rsidRPr="00AA336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CE0EB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15873186" w:rsidR="00A421D5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E83A09E" w14:textId="77777777" w:rsidR="002E1EBF" w:rsidRPr="00CE0EBB" w:rsidRDefault="002E1EBF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0E43D26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głoszono przetarg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technicznego przy realizacji projektu „System informatyczny służący stworzeniu środowiska cyfrowego dla realizacji usług publicznych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realizacji w zakończonym postępowaniu przeprowadzono z wyprzedzeniem, tak aby maksymalnie wykorzystać okresy oczekiwań na odpowiedzi czy upłynięcie ustawowych terminów przewidzianych dla postępowań przetargowych (np. kierowanie w czasie oczekiwania na upłyniecie terminu na odwołanie wniosku Wykonawcy, którego oferta uplasowała się na pierwszym miejscu w wewnętrznym rankingu o przesłanie dokumentów potwierdzających spełnianie warunków udziału w postępowaniu oraz brak podstaw wykluczenia)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powyższego postępowania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przedłużenie terminu związania ofertą, przekazanym wszystkim wykonawcom uczestniczącym w postępowaniu, Zamawiający jednoznacznie poinformował wykonawców, że wyrażenie zgody przez wykonawcę nie może być dorozumiane, to znaczy, że zgoda wykonawcy musi być jednoznacznie wyartykułowana w oświadczeniu złożonym w odpowiedzi na wezwanie.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ramach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prezentowane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5648A2CC" w14:textId="3D7B1640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 xml:space="preserve">Sytuacja związana z opóźnieniem realizacji Kamienia Milo-wego nr 1 i w konsekwencji Kamienia Milowego nr 2 wynikała z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 xml:space="preserve">konieczności przeprowadzenia dodatkowej analizy technicznej i prawnej związanej z wyborem wariantu realizacji projektu, co bezpośrednio miało związek z zagadnieniem zakazu podwójnego finansowania w realizowanym projekcie w odniesieniu do innego wdrażanego w Głównym Urzędzie Miar projektu informatycznego pn. Świteź. </w:t>
            </w:r>
          </w:p>
        </w:tc>
      </w:tr>
      <w:tr w:rsidR="00E43D26" w:rsidRPr="00CE0EBB" w14:paraId="510AD042" w14:textId="77777777" w:rsidTr="00E43D26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 xml:space="preserve">Odbiór koncepcji systemu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10255A34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413ABB8" w14:textId="77777777" w:rsidR="00E43D26" w:rsidRDefault="006346EC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208CC">
              <w:rPr>
                <w:rFonts w:ascii="Arial" w:hAnsi="Arial" w:cs="Arial"/>
                <w:sz w:val="18"/>
                <w:szCs w:val="18"/>
              </w:rPr>
              <w:t>Beneficjent jest w trakcie</w:t>
            </w:r>
            <w:r w:rsidR="0062387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83E73">
              <w:rPr>
                <w:rFonts w:ascii="Arial" w:hAnsi="Arial" w:cs="Arial"/>
                <w:sz w:val="18"/>
                <w:szCs w:val="18"/>
              </w:rPr>
              <w:t xml:space="preserve">odbioru </w:t>
            </w:r>
            <w:r>
              <w:rPr>
                <w:rFonts w:ascii="Arial" w:hAnsi="Arial" w:cs="Arial"/>
                <w:sz w:val="18"/>
                <w:szCs w:val="18"/>
              </w:rPr>
              <w:t>koncepcji od doradcy technicznego. Beneficjent planuje osiągnięcie kamienia milowego w listopadzie br.</w:t>
            </w:r>
          </w:p>
          <w:p w14:paraId="0E2F8B97" w14:textId="25A01D0C" w:rsidR="00455B64" w:rsidRPr="003208CC" w:rsidRDefault="003B197B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E43D26" w:rsidRPr="00CE0EBB" w14:paraId="67B64372" w14:textId="77777777" w:rsidTr="00E43D26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0FD42F85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450" w:type="dxa"/>
            <w:vAlign w:val="center"/>
          </w:tcPr>
          <w:p w14:paraId="4009121E" w14:textId="282205DA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8600FD1" w14:textId="4EC5B7A7" w:rsidR="00E43D26" w:rsidRDefault="006150F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6346EC">
              <w:rPr>
                <w:rFonts w:ascii="Arial" w:hAnsi="Arial" w:cs="Arial"/>
                <w:sz w:val="18"/>
                <w:szCs w:val="18"/>
              </w:rPr>
              <w:t xml:space="preserve">Beneficjent jest w trakcie przygotowania dokumentacji przetargowej. </w:t>
            </w:r>
            <w:r w:rsidR="006346EC">
              <w:rPr>
                <w:rFonts w:ascii="Arial" w:hAnsi="Arial" w:cs="Arial"/>
                <w:sz w:val="18"/>
                <w:szCs w:val="18"/>
              </w:rPr>
              <w:t xml:space="preserve">Beneficjent planuje osiągnięcie kamienia milowego w </w:t>
            </w:r>
            <w:r w:rsidR="00FD776B">
              <w:rPr>
                <w:rFonts w:ascii="Arial" w:hAnsi="Arial" w:cs="Arial"/>
                <w:sz w:val="18"/>
                <w:szCs w:val="18"/>
              </w:rPr>
              <w:t>marcu</w:t>
            </w:r>
            <w:r w:rsidR="006346EC">
              <w:rPr>
                <w:rFonts w:ascii="Arial" w:hAnsi="Arial" w:cs="Arial"/>
                <w:sz w:val="18"/>
                <w:szCs w:val="18"/>
              </w:rPr>
              <w:t xml:space="preserve"> br.</w:t>
            </w:r>
          </w:p>
          <w:p w14:paraId="3708CD3C" w14:textId="484BB132" w:rsidR="003B197B" w:rsidRPr="00164DF5" w:rsidRDefault="003B197B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E43D26" w:rsidRPr="00CE0EBB" w14:paraId="4A27863C" w14:textId="77777777" w:rsidTr="00E43D26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9CAEEB" w14:textId="76E956D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08-2021</w:t>
            </w:r>
          </w:p>
        </w:tc>
        <w:tc>
          <w:tcPr>
            <w:tcW w:w="1450" w:type="dxa"/>
            <w:vAlign w:val="center"/>
          </w:tcPr>
          <w:p w14:paraId="53EF5D2A" w14:textId="3C474FBE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D50A9DE" w14:textId="1223712A" w:rsidR="00E43D26" w:rsidRDefault="006150F8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  <w:r w:rsidRPr="006150F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D776B">
              <w:rPr>
                <w:rFonts w:ascii="Arial" w:hAnsi="Arial" w:cs="Arial"/>
                <w:sz w:val="18"/>
                <w:szCs w:val="18"/>
              </w:rPr>
              <w:t>Beneficjent jest w trakcie przygotowania dokumentacji przetargowej. Beneficjent planuje osiągnięcie kamienia milowego w marcu br.</w:t>
            </w:r>
          </w:p>
          <w:p w14:paraId="20D5EE66" w14:textId="13722B72" w:rsidR="003B197B" w:rsidRPr="0094304D" w:rsidRDefault="003B197B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Beneficjent jest w trakcie przygotowywania nowego harmonogramu kamieni milowych celem uzyskania zgody Instytucji Pośredniczącej.</w:t>
            </w:r>
          </w:p>
        </w:tc>
      </w:tr>
      <w:tr w:rsidR="00E43D26" w:rsidRPr="00CE0EBB" w14:paraId="390EF177" w14:textId="77777777" w:rsidTr="00E43D26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8A0686" w14:textId="22BE6E6D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450" w:type="dxa"/>
            <w:vAlign w:val="center"/>
          </w:tcPr>
          <w:p w14:paraId="2728E8AC" w14:textId="16CAF3CF" w:rsidR="00E43D26" w:rsidRPr="00690FD7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772C57B" w14:textId="771E9B3D" w:rsidR="00E43D26" w:rsidRPr="0094304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90FD7" w:rsidRPr="00CE0EBB" w14:paraId="462317A1" w14:textId="77777777" w:rsidTr="00E43D26">
        <w:tc>
          <w:tcPr>
            <w:tcW w:w="2127" w:type="dxa"/>
            <w:vAlign w:val="center"/>
          </w:tcPr>
          <w:p w14:paraId="326CF537" w14:textId="6F312595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D5972B" w14:textId="394118CF" w:rsidR="00690FD7" w:rsidRPr="00E43D26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71153DAF" w14:textId="02F80021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690FD7" w:rsidRPr="00CE0EBB" w14:paraId="2D2650E9" w14:textId="77777777" w:rsidTr="002352A6">
        <w:tc>
          <w:tcPr>
            <w:tcW w:w="2127" w:type="dxa"/>
            <w:vAlign w:val="center"/>
          </w:tcPr>
          <w:p w14:paraId="6EC47971" w14:textId="7CB41A78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690FD7" w:rsidRPr="00164DF5" w:rsidRDefault="00690FD7" w:rsidP="00690FD7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32700A4A" w14:textId="68DDA170" w:rsidR="00690FD7" w:rsidRPr="00E43D26" w:rsidRDefault="00690FD7" w:rsidP="00690FD7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0F479473" w14:textId="7F29A0BD" w:rsidR="00690FD7" w:rsidRPr="00500167" w:rsidRDefault="00690FD7" w:rsidP="00690FD7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690FD7" w:rsidRPr="0094304D" w:rsidRDefault="00690FD7" w:rsidP="00690F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2352A6" w:rsidRPr="00CE0EBB" w14:paraId="7D68F752" w14:textId="77777777" w:rsidTr="00DE42C0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755D4FD3" w:rsidR="002352A6" w:rsidRPr="00E43D26" w:rsidRDefault="002352A6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450" w:type="dxa"/>
            <w:vAlign w:val="center"/>
          </w:tcPr>
          <w:p w14:paraId="3B4BE98F" w14:textId="7B08800D" w:rsidR="002352A6" w:rsidRPr="00500167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2352A6" w:rsidRPr="0094304D" w:rsidRDefault="002352A6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130"/>
        <w:gridCol w:w="1275"/>
        <w:gridCol w:w="411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niewystarczającymi zasobami kadrowymi beneficjenta (wakaty, absencja).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w przypadku brak możliwości zatrudnienia planowanych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realizacji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zewnętrznych specjalizujących się w rozwiązaniach i produktach będących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narzędzia zarządcze mające na celu utrzymanie motywacji i zaangażowania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są działania w postaci cyklicznie uruchamianych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zakończonych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poprzez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umożliwiających dotarcie do potencjalnych kandydatów (np. media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kadrowych, z uwagi na angażowanie zasobów własnych do czasu rozstrzygnięcia zaplanowanych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pozyskane wsparcie zewnętrzne, mimo braku obsadzenia kluczowych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Zabezpieczenie czasowe wynikające z braków kadrowych pozwalające na przesunięcie projektu w czasie w przypadku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nieprzewidzianej sytuacji losowej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zaangażowanego i z motywowanego zespołu projektowego, realizującego zadania na wysokim i pożądanym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52F6B53" w14:textId="77777777" w:rsidR="00014D24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opóźnień lub braku możliwości realizacji w zakładanym terminie związane z niemożnością wyboru wykonawców Projektu, wynikające z: a) niewłaściwego oszacowania kosztów; </w:t>
            </w:r>
          </w:p>
          <w:p w14:paraId="4B0E257E" w14:textId="77777777" w:rsidR="00014D24" w:rsidRDefault="0086769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; </w:t>
            </w:r>
          </w:p>
          <w:p w14:paraId="3D92651D" w14:textId="7B0C8732" w:rsidR="00867696" w:rsidRPr="005504E8" w:rsidRDefault="00AA1EE4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wariantu wdrożenia systemu – integracja z innym wdrażanym systemem Beneficjenta</w:t>
            </w:r>
            <w:r w:rsidR="00BF7820">
              <w:rPr>
                <w:rFonts w:ascii="Arial" w:hAnsi="Arial" w:cs="Arial"/>
                <w:color w:val="auto"/>
                <w:sz w:val="18"/>
                <w:szCs w:val="18"/>
              </w:rPr>
              <w:t>, projekt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44967391" w14:textId="5F09F78B" w:rsidR="00867696" w:rsidRPr="005504E8" w:rsidRDefault="00CA3E2A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7317DB" w:rsidRPr="005504E8">
              <w:rPr>
                <w:rFonts w:ascii="Arial" w:hAnsi="Arial" w:cs="Arial"/>
                <w:sz w:val="18"/>
                <w:szCs w:val="18"/>
              </w:rPr>
              <w:t xml:space="preserve">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związanych ze sposobem realizacji projektu, zwłaszcza w kontekście innych tworzonych u Beneficjenta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integracji.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poszczególnych do wszczęcia postępowań planuje się przeprowadzić rozeznanie rynku obejmujące oferty cenowe co najmniej kilku oferentów.</w:t>
            </w:r>
          </w:p>
          <w:p w14:paraId="1E5B4772" w14:textId="40552653" w:rsidR="00D60D1D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planuje podjąć kroki mające na celu właściwą organizację postępowań przetargowych z uwzględnieniem niezbędnych zapasów czasowych na ich przeprowadzenie. </w:t>
            </w:r>
          </w:p>
          <w:p w14:paraId="1DAC25EE" w14:textId="199A5018" w:rsidR="00870A88" w:rsidRPr="005504E8" w:rsidRDefault="00870A88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Zintensyfikowanie prac dotyczących </w:t>
            </w:r>
            <w:r w:rsidR="00050583">
              <w:rPr>
                <w:rFonts w:ascii="Arial" w:hAnsi="Arial" w:cs="Arial"/>
                <w:sz w:val="18"/>
                <w:szCs w:val="18"/>
              </w:rPr>
              <w:t>kwestii technicznych pomiędzy systemami</w:t>
            </w:r>
            <w:r w:rsidR="001A6D9D">
              <w:rPr>
                <w:rFonts w:ascii="Arial" w:hAnsi="Arial" w:cs="Arial"/>
                <w:sz w:val="18"/>
                <w:szCs w:val="18"/>
              </w:rPr>
              <w:t xml:space="preserve"> Trans-Tacho i Świteź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wariantu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niedoszacowania poszczególnych usług w projekcie pozyskiwanych na zewnątrz.</w:t>
            </w:r>
          </w:p>
          <w:p w14:paraId="4EF83B03" w14:textId="4FFF678C" w:rsidR="00BA008F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zaplanowanych terminach.</w:t>
            </w:r>
          </w:p>
          <w:p w14:paraId="1434383F" w14:textId="1B47020E" w:rsidR="001A6D9D" w:rsidRPr="005504E8" w:rsidRDefault="001A6D9D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Otrzymanie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 zakresu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718B">
              <w:rPr>
                <w:rFonts w:ascii="Arial" w:hAnsi="Arial" w:cs="Arial"/>
                <w:sz w:val="18"/>
                <w:szCs w:val="18"/>
              </w:rPr>
              <w:t xml:space="preserve">API z systemu Świteź </w:t>
            </w:r>
            <w:r w:rsidR="00835A59">
              <w:rPr>
                <w:rFonts w:ascii="Arial" w:hAnsi="Arial" w:cs="Arial"/>
                <w:sz w:val="18"/>
                <w:szCs w:val="18"/>
              </w:rPr>
              <w:t>dla celów dokumentacji systemu Trans-Tacho</w:t>
            </w:r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średnią siłą oddziaływania i bardzo wysokim prawdopodobieństwem wystąpienia.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podejmowaniem przez wykonawcę systemu nieprawidłowych działań, w szczególności związanych z: a) wdrożeniem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zapewnieniem wydajności wdrożonego systemu teleinformatycznego.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ramach planowanego postępowania przetargowego na poziomie pozwalającym pozyskać najlepszego wykonawcę przy zachowaniu odpowiedniej, rynkowej ceny za budowę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Planowane zatrudnienie doradcy technicznego mającego za zadanie wsparcie Beneficjenta w zakresie dotyczącym wymogów wobec przyszłego wykonawcy, oceny ofert oraz rozeznania rynku i przedstawienia rekomendacji w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– w dniu 31.12.2020 r. ogłoszono przetarg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planowanego systemu przy uwzględnieniu wymagań i oczekiwań Beneficjenta w formie projektu technicznego systemu, będącego podstawą dla przyszłego wykonawcy w 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systemu zapewniającego sprawne wdrożenie i jego funkcjonowanie,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technicznego systemu, który będzie jasno wskazywał przyszłemu wykonawcy sposób realizacji poszczególnych jego elementów zgodnie z wymaganiami stawianymi przez Beneficjenta; minimalizowanie sytuacji pominięcia jakiegokolwiek aspektu funkcjonowania systemu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Prowadzenie rzetelnego szacowania poszczególnych zamawianych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Angażowanie sprawdzonych zasobów kadrowych do realizacji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poziomu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planowanych do poniesienia kosztów w ramach planowanych do zakupu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zasobów własnych Beneficjenta – wykorzystanie posiadanego zasobu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</w:t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lastRenderedPageBreak/>
              <w:t xml:space="preserve">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Zapewnienie stałego wsparcia w zakresie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Akceptacyjnych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gwarantujących odpowiedni okres gwarancji systemu oraz konieczności wprowadzania zmian i poprawek w przypadku stwierdzonych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technicznego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pozwalających na wpływ na wykonawcę w zakresie terminowego reagowania na ewentualne zgłaszane błędy w funkcjonowaniu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postępowania na opracowanie koncepcji promocyjnej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internetowej Beneficjenta, na której zamieszczane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możliwościach i zaletach wprowadzonego systemu.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Bieżące budowanie pozytywnego wizerunku projektu jako narzędzia usprawniającego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dopasowanych działań promocyjnych projektu.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Beneficjenta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pracowników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Zbudowanie dostosowanego i zgodnego z oczekiwaniem systemu przynoszącego realne korzyści jego użytkownikom wewnętrznym i zewnętrznym, w postaci zmniejszenia czasu realizacji poświęcanego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chmurowej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echnicznego najlepszych rozwiązań w ramach usługi chmurowej, w tym wsparcie w zakresie przygotowania wymagań dla potencjalnego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dostępności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Wybór dostawcy gwarantującego dostępność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wymagań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1" w:name="_Hlk18274129"/>
    </w:p>
    <w:p w14:paraId="0FA2F07F" w14:textId="622A6F9B" w:rsidR="00BB059E" w:rsidRPr="002C074B" w:rsidRDefault="00770A0B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Agata Kerner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8" w:history="1">
        <w:r w:rsidR="00500167" w:rsidRPr="00150542">
          <w:rPr>
            <w:rStyle w:val="Hipercze"/>
          </w:rPr>
          <w:t>agata.kerner@gum.gov.pl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1"/>
      <w:r w:rsidR="002C074B">
        <w:rPr>
          <w:rFonts w:ascii="Arial" w:hAnsi="Arial" w:cs="Arial"/>
          <w:sz w:val="18"/>
          <w:szCs w:val="18"/>
        </w:rPr>
        <w:t xml:space="preserve"> 22 581 </w:t>
      </w:r>
      <w:r w:rsidR="002C074B" w:rsidRPr="002C074B">
        <w:rPr>
          <w:rFonts w:ascii="Arial" w:hAnsi="Arial" w:cs="Arial"/>
          <w:sz w:val="18"/>
          <w:szCs w:val="18"/>
        </w:rPr>
        <w:t xml:space="preserve">93 </w:t>
      </w:r>
      <w:r w:rsidR="00365B29">
        <w:rPr>
          <w:rFonts w:ascii="Arial" w:hAnsi="Arial" w:cs="Arial"/>
          <w:sz w:val="18"/>
          <w:szCs w:val="18"/>
        </w:rPr>
        <w:t>47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D6C34" w14:textId="77777777" w:rsidR="002E539B" w:rsidRDefault="002E539B" w:rsidP="00BB2420">
      <w:pPr>
        <w:spacing w:after="0" w:line="240" w:lineRule="auto"/>
      </w:pPr>
      <w:r>
        <w:separator/>
      </w:r>
    </w:p>
  </w:endnote>
  <w:endnote w:type="continuationSeparator" w:id="0">
    <w:p w14:paraId="1D5A3158" w14:textId="77777777" w:rsidR="002E539B" w:rsidRDefault="002E539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105F79" w14:textId="77777777" w:rsidR="002E539B" w:rsidRDefault="002E539B" w:rsidP="00BB2420">
      <w:pPr>
        <w:spacing w:after="0" w:line="240" w:lineRule="auto"/>
      </w:pPr>
      <w:r>
        <w:separator/>
      </w:r>
    </w:p>
  </w:footnote>
  <w:footnote w:type="continuationSeparator" w:id="0">
    <w:p w14:paraId="417EAE61" w14:textId="77777777" w:rsidR="002E539B" w:rsidRDefault="002E539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 w15:restartNumberingAfterBreak="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 w15:restartNumberingAfterBreak="0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 w15:restartNumberingAfterBreak="0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4D24"/>
    <w:rsid w:val="00030D32"/>
    <w:rsid w:val="000315DE"/>
    <w:rsid w:val="00043DD9"/>
    <w:rsid w:val="00044D68"/>
    <w:rsid w:val="00047D9D"/>
    <w:rsid w:val="00050583"/>
    <w:rsid w:val="0005607C"/>
    <w:rsid w:val="00056E8A"/>
    <w:rsid w:val="0006403E"/>
    <w:rsid w:val="000665B3"/>
    <w:rsid w:val="000666AE"/>
    <w:rsid w:val="00070663"/>
    <w:rsid w:val="0007129E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B5642"/>
    <w:rsid w:val="000C32FA"/>
    <w:rsid w:val="000D340D"/>
    <w:rsid w:val="000E0060"/>
    <w:rsid w:val="000E1828"/>
    <w:rsid w:val="000E4BF8"/>
    <w:rsid w:val="000F20A9"/>
    <w:rsid w:val="000F307B"/>
    <w:rsid w:val="000F30B9"/>
    <w:rsid w:val="00115245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64DF5"/>
    <w:rsid w:val="00176FBB"/>
    <w:rsid w:val="00181E97"/>
    <w:rsid w:val="00182A08"/>
    <w:rsid w:val="001A2EF2"/>
    <w:rsid w:val="001A6485"/>
    <w:rsid w:val="001A6D9D"/>
    <w:rsid w:val="001C2D74"/>
    <w:rsid w:val="001C4DAB"/>
    <w:rsid w:val="001C7FAC"/>
    <w:rsid w:val="001D0DDF"/>
    <w:rsid w:val="001D167C"/>
    <w:rsid w:val="001D2FA0"/>
    <w:rsid w:val="001D32A8"/>
    <w:rsid w:val="001E056C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16308"/>
    <w:rsid w:val="00225A8F"/>
    <w:rsid w:val="002340C9"/>
    <w:rsid w:val="002352A6"/>
    <w:rsid w:val="00237279"/>
    <w:rsid w:val="00240D69"/>
    <w:rsid w:val="00241B5E"/>
    <w:rsid w:val="00252087"/>
    <w:rsid w:val="00253CA4"/>
    <w:rsid w:val="00263392"/>
    <w:rsid w:val="00265194"/>
    <w:rsid w:val="00265AE2"/>
    <w:rsid w:val="00276C00"/>
    <w:rsid w:val="00280E4E"/>
    <w:rsid w:val="00282528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7629"/>
    <w:rsid w:val="002D3D4A"/>
    <w:rsid w:val="002D53F5"/>
    <w:rsid w:val="002D7ADA"/>
    <w:rsid w:val="002E1EBF"/>
    <w:rsid w:val="002E2FAF"/>
    <w:rsid w:val="002E539B"/>
    <w:rsid w:val="002E7C90"/>
    <w:rsid w:val="002F089A"/>
    <w:rsid w:val="002F29A3"/>
    <w:rsid w:val="002F714C"/>
    <w:rsid w:val="0030196F"/>
    <w:rsid w:val="00302775"/>
    <w:rsid w:val="00304D04"/>
    <w:rsid w:val="00310D8E"/>
    <w:rsid w:val="003208CC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42B8"/>
    <w:rsid w:val="00365B29"/>
    <w:rsid w:val="00384512"/>
    <w:rsid w:val="00392919"/>
    <w:rsid w:val="003A4115"/>
    <w:rsid w:val="003A7F3B"/>
    <w:rsid w:val="003B197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3F6278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5B64"/>
    <w:rsid w:val="00456BE8"/>
    <w:rsid w:val="00457F79"/>
    <w:rsid w:val="004729D1"/>
    <w:rsid w:val="004776BB"/>
    <w:rsid w:val="00477868"/>
    <w:rsid w:val="00483E73"/>
    <w:rsid w:val="00485E17"/>
    <w:rsid w:val="00486C5D"/>
    <w:rsid w:val="004A532C"/>
    <w:rsid w:val="004B1BD5"/>
    <w:rsid w:val="004B338A"/>
    <w:rsid w:val="004B4570"/>
    <w:rsid w:val="004B6CEF"/>
    <w:rsid w:val="004B75AC"/>
    <w:rsid w:val="004B7D38"/>
    <w:rsid w:val="004C1D48"/>
    <w:rsid w:val="004D65CA"/>
    <w:rsid w:val="004E00EE"/>
    <w:rsid w:val="004E68AF"/>
    <w:rsid w:val="004F3155"/>
    <w:rsid w:val="004F6E89"/>
    <w:rsid w:val="00500167"/>
    <w:rsid w:val="00504B06"/>
    <w:rsid w:val="005076A1"/>
    <w:rsid w:val="00513213"/>
    <w:rsid w:val="00517F12"/>
    <w:rsid w:val="0052102C"/>
    <w:rsid w:val="005212C8"/>
    <w:rsid w:val="00524E6C"/>
    <w:rsid w:val="00527B99"/>
    <w:rsid w:val="00527DA3"/>
    <w:rsid w:val="005332D6"/>
    <w:rsid w:val="00544DFE"/>
    <w:rsid w:val="00545172"/>
    <w:rsid w:val="00545796"/>
    <w:rsid w:val="00546B04"/>
    <w:rsid w:val="005504E8"/>
    <w:rsid w:val="005548F2"/>
    <w:rsid w:val="0055718B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0550D"/>
    <w:rsid w:val="00610B21"/>
    <w:rsid w:val="006150F8"/>
    <w:rsid w:val="0062054D"/>
    <w:rsid w:val="0062387E"/>
    <w:rsid w:val="00626C1D"/>
    <w:rsid w:val="006334BF"/>
    <w:rsid w:val="006346EC"/>
    <w:rsid w:val="00635A54"/>
    <w:rsid w:val="00645D2A"/>
    <w:rsid w:val="00656605"/>
    <w:rsid w:val="00661A62"/>
    <w:rsid w:val="00671975"/>
    <w:rsid w:val="006731D9"/>
    <w:rsid w:val="00681331"/>
    <w:rsid w:val="006822BC"/>
    <w:rsid w:val="00690FD7"/>
    <w:rsid w:val="006948D3"/>
    <w:rsid w:val="00697459"/>
    <w:rsid w:val="006A60AA"/>
    <w:rsid w:val="006B034F"/>
    <w:rsid w:val="006B5117"/>
    <w:rsid w:val="006C6ABC"/>
    <w:rsid w:val="006C78AE"/>
    <w:rsid w:val="006D7DD2"/>
    <w:rsid w:val="006E0CFA"/>
    <w:rsid w:val="006E6205"/>
    <w:rsid w:val="006F0234"/>
    <w:rsid w:val="006F3299"/>
    <w:rsid w:val="006F36F8"/>
    <w:rsid w:val="00701800"/>
    <w:rsid w:val="007060BD"/>
    <w:rsid w:val="00716985"/>
    <w:rsid w:val="00720C6B"/>
    <w:rsid w:val="00725708"/>
    <w:rsid w:val="007317DB"/>
    <w:rsid w:val="007331FF"/>
    <w:rsid w:val="00740A47"/>
    <w:rsid w:val="00740F9D"/>
    <w:rsid w:val="00746ABD"/>
    <w:rsid w:val="00747420"/>
    <w:rsid w:val="007618CF"/>
    <w:rsid w:val="00767DC5"/>
    <w:rsid w:val="00770A0B"/>
    <w:rsid w:val="0077418F"/>
    <w:rsid w:val="00775C44"/>
    <w:rsid w:val="00776802"/>
    <w:rsid w:val="0078594B"/>
    <w:rsid w:val="007924CE"/>
    <w:rsid w:val="00795AFA"/>
    <w:rsid w:val="007A4742"/>
    <w:rsid w:val="007B0251"/>
    <w:rsid w:val="007B456A"/>
    <w:rsid w:val="007B4B4F"/>
    <w:rsid w:val="007B74EE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5A59"/>
    <w:rsid w:val="00836502"/>
    <w:rsid w:val="00840749"/>
    <w:rsid w:val="008448C4"/>
    <w:rsid w:val="00863DC2"/>
    <w:rsid w:val="00867696"/>
    <w:rsid w:val="008700EB"/>
    <w:rsid w:val="00870A88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051C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41F58"/>
    <w:rsid w:val="0094304D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2786F"/>
    <w:rsid w:val="00A30847"/>
    <w:rsid w:val="00A34627"/>
    <w:rsid w:val="00A36AE2"/>
    <w:rsid w:val="00A421D5"/>
    <w:rsid w:val="00A42DF3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336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1B57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C77F7"/>
    <w:rsid w:val="00BD58CE"/>
    <w:rsid w:val="00BE162B"/>
    <w:rsid w:val="00BE25D7"/>
    <w:rsid w:val="00BE47CD"/>
    <w:rsid w:val="00BE5BF9"/>
    <w:rsid w:val="00BF2614"/>
    <w:rsid w:val="00BF7820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302B"/>
    <w:rsid w:val="00C866B7"/>
    <w:rsid w:val="00CA3E2A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E64"/>
    <w:rsid w:val="00D02F6D"/>
    <w:rsid w:val="00D22C21"/>
    <w:rsid w:val="00D2339D"/>
    <w:rsid w:val="00D2546E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4FCE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3D26"/>
    <w:rsid w:val="00E457A2"/>
    <w:rsid w:val="00E47508"/>
    <w:rsid w:val="00E55EB0"/>
    <w:rsid w:val="00E57BB7"/>
    <w:rsid w:val="00E61CB0"/>
    <w:rsid w:val="00E71256"/>
    <w:rsid w:val="00E71BCF"/>
    <w:rsid w:val="00E74CD0"/>
    <w:rsid w:val="00E803B2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E5D84"/>
    <w:rsid w:val="00EF4734"/>
    <w:rsid w:val="00EF62EE"/>
    <w:rsid w:val="00F138F7"/>
    <w:rsid w:val="00F2008A"/>
    <w:rsid w:val="00F21D9E"/>
    <w:rsid w:val="00F225D2"/>
    <w:rsid w:val="00F237A0"/>
    <w:rsid w:val="00F25348"/>
    <w:rsid w:val="00F45506"/>
    <w:rsid w:val="00F457C0"/>
    <w:rsid w:val="00F5466E"/>
    <w:rsid w:val="00F60062"/>
    <w:rsid w:val="00F613CC"/>
    <w:rsid w:val="00F6584C"/>
    <w:rsid w:val="00F747AB"/>
    <w:rsid w:val="00F76777"/>
    <w:rsid w:val="00F83F2F"/>
    <w:rsid w:val="00F86555"/>
    <w:rsid w:val="00F86C58"/>
    <w:rsid w:val="00F900FC"/>
    <w:rsid w:val="00F97F19"/>
    <w:rsid w:val="00FA69D3"/>
    <w:rsid w:val="00FB4804"/>
    <w:rsid w:val="00FB7090"/>
    <w:rsid w:val="00FC30C7"/>
    <w:rsid w:val="00FC3B03"/>
    <w:rsid w:val="00FD4D67"/>
    <w:rsid w:val="00FD776B"/>
    <w:rsid w:val="00FE7DFD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ata.kerner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FEF3C-96F0-4C32-967B-E784E71A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2439</Words>
  <Characters>14634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2021-10-12T12:00:00Z</dcterms:created>
  <dcterms:modified xsi:type="dcterms:W3CDTF">2021-10-21T13:57:00Z</dcterms:modified>
</cp:coreProperties>
</file>